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DDB6A" w14:textId="77777777" w:rsidR="00425622" w:rsidRDefault="00425622" w:rsidP="00425622">
      <w:pPr>
        <w:rPr>
          <w:rFonts w:cs="Arial"/>
          <w:b/>
          <w:bCs/>
        </w:rPr>
      </w:pPr>
    </w:p>
    <w:p w14:paraId="55924C0C" w14:textId="013AE900" w:rsidR="00425622" w:rsidRDefault="000C7969" w:rsidP="000C7969">
      <w:pPr>
        <w:jc w:val="center"/>
        <w:rPr>
          <w:rFonts w:cs="Arial"/>
          <w:b/>
          <w:bCs/>
        </w:rPr>
      </w:pPr>
      <w:r>
        <w:rPr>
          <w:noProof/>
        </w:rPr>
        <w:drawing>
          <wp:inline distT="0" distB="0" distL="0" distR="0" wp14:anchorId="709D0336" wp14:editId="0EA1D279">
            <wp:extent cx="6543675" cy="1357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93541" cy="1367550"/>
                    </a:xfrm>
                    <a:prstGeom prst="rect">
                      <a:avLst/>
                    </a:prstGeom>
                    <a:noFill/>
                    <a:ln>
                      <a:noFill/>
                    </a:ln>
                  </pic:spPr>
                </pic:pic>
              </a:graphicData>
            </a:graphic>
          </wp:inline>
        </w:drawing>
      </w:r>
    </w:p>
    <w:p w14:paraId="030A046F" w14:textId="77777777" w:rsidR="00425622" w:rsidRDefault="00425622" w:rsidP="00425622">
      <w:pPr>
        <w:rPr>
          <w:rFonts w:cs="Arial"/>
          <w:b/>
          <w:bCs/>
        </w:rPr>
      </w:pPr>
    </w:p>
    <w:p w14:paraId="4A0F6605" w14:textId="3258D1F8" w:rsidR="00425622" w:rsidRPr="00425622" w:rsidRDefault="00425622" w:rsidP="00425622">
      <w:pPr>
        <w:rPr>
          <w:rFonts w:cs="Arial"/>
          <w:b/>
          <w:bCs/>
          <w:sz w:val="28"/>
          <w:szCs w:val="28"/>
        </w:rPr>
      </w:pPr>
      <w:r w:rsidRPr="00425622">
        <w:rPr>
          <w:rFonts w:cs="Arial"/>
          <w:b/>
          <w:bCs/>
          <w:sz w:val="28"/>
          <w:szCs w:val="28"/>
        </w:rPr>
        <w:t xml:space="preserve">Details of amounts payable to businesses forced to close under the new national lockdown </w:t>
      </w:r>
    </w:p>
    <w:p w14:paraId="10C1BA43" w14:textId="77777777" w:rsidR="00425622" w:rsidRDefault="00425622" w:rsidP="00425622">
      <w:pPr>
        <w:rPr>
          <w:rFonts w:cs="Arial"/>
          <w:b/>
          <w:bCs/>
        </w:rPr>
      </w:pPr>
    </w:p>
    <w:p w14:paraId="16C9E33D" w14:textId="106C9EBA" w:rsidR="00425622" w:rsidRPr="00425622" w:rsidRDefault="00425622" w:rsidP="00425622">
      <w:pPr>
        <w:rPr>
          <w:rFonts w:cs="Arial"/>
        </w:rPr>
      </w:pPr>
      <w:r>
        <w:rPr>
          <w:rFonts w:cs="Arial"/>
          <w:b/>
          <w:bCs/>
        </w:rPr>
        <w:t xml:space="preserve">These </w:t>
      </w:r>
      <w:r w:rsidRPr="00425622">
        <w:rPr>
          <w:rFonts w:cs="Arial"/>
          <w:b/>
          <w:bCs/>
        </w:rPr>
        <w:t xml:space="preserve">are given in the table </w:t>
      </w:r>
      <w:r>
        <w:rPr>
          <w:rFonts w:cs="Arial"/>
          <w:b/>
          <w:bCs/>
        </w:rPr>
        <w:t xml:space="preserve">overleaf. </w:t>
      </w:r>
      <w:r w:rsidRPr="00425622">
        <w:rPr>
          <w:rFonts w:cs="Arial"/>
        </w:rPr>
        <w:t>Funding will be made available to Scotland and Wales, according to the government announcement, which included ‘devolved administrations will receive Barnett consequentials which they could use to establish similar schemes.’</w:t>
      </w:r>
    </w:p>
    <w:p w14:paraId="6B47EB77" w14:textId="77777777" w:rsidR="00425622" w:rsidRDefault="00425622" w:rsidP="00425622">
      <w:pPr>
        <w:rPr>
          <w:rFonts w:cs="Arial"/>
        </w:rPr>
      </w:pPr>
    </w:p>
    <w:p w14:paraId="5A1F66FC" w14:textId="3211EF28" w:rsidR="00425622" w:rsidRPr="00425622" w:rsidRDefault="00425622" w:rsidP="00425622">
      <w:pPr>
        <w:rPr>
          <w:rFonts w:cs="Arial"/>
        </w:rPr>
      </w:pPr>
      <w:r w:rsidRPr="00425622">
        <w:rPr>
          <w:rFonts w:cs="Arial"/>
        </w:rPr>
        <w:t>On 9 October, the </w:t>
      </w:r>
      <w:r w:rsidRPr="00425622">
        <w:rPr>
          <w:rFonts w:cs="Arial"/>
          <w:b/>
          <w:bCs/>
        </w:rPr>
        <w:t>local authority grant assistance</w:t>
      </w:r>
      <w:r w:rsidRPr="00425622">
        <w:rPr>
          <w:rFonts w:cs="Arial"/>
        </w:rPr>
        <w:t xml:space="preserve"> for businesses that were forced to close their premises as a result of local lockdowns in England </w:t>
      </w:r>
      <w:hyperlink r:id="rId5" w:history="1">
        <w:r w:rsidRPr="00425622">
          <w:rPr>
            <w:rStyle w:val="Hyperlink"/>
            <w:rFonts w:cs="Arial"/>
          </w:rPr>
          <w:t>was largely enhanced</w:t>
        </w:r>
      </w:hyperlink>
      <w:r w:rsidRPr="00425622">
        <w:rPr>
          <w:rFonts w:cs="Arial"/>
        </w:rPr>
        <w:t> both in terms of the frequency and amount of payment (so that ‘larger’ businesses would receive more overall), and in terms of the scope – ‘local’ went ‘national.’</w:t>
      </w:r>
    </w:p>
    <w:p w14:paraId="3235D473" w14:textId="77777777" w:rsidR="00425622" w:rsidRDefault="00425622" w:rsidP="00425622">
      <w:pPr>
        <w:rPr>
          <w:rFonts w:cs="Arial"/>
        </w:rPr>
      </w:pPr>
    </w:p>
    <w:p w14:paraId="01BECADC" w14:textId="41213688" w:rsidR="00425622" w:rsidRPr="00425622" w:rsidRDefault="00425622" w:rsidP="00425622">
      <w:pPr>
        <w:rPr>
          <w:rFonts w:cs="Arial"/>
        </w:rPr>
      </w:pPr>
      <w:r w:rsidRPr="00425622">
        <w:rPr>
          <w:rFonts w:cs="Arial"/>
        </w:rPr>
        <w:t>In this context, ‘lockdown’ refers to a legal requirement to close as imposed by one of the national/UK governments. However, businesses such as restaurants that have been ‘locked down’ but are still permitted to carry on a ‘takeaway’ or similar service </w:t>
      </w:r>
      <w:r w:rsidRPr="00425622">
        <w:rPr>
          <w:rFonts w:cs="Arial"/>
          <w:b/>
          <w:bCs/>
        </w:rPr>
        <w:t>will</w:t>
      </w:r>
      <w:r w:rsidRPr="00425622">
        <w:rPr>
          <w:rFonts w:cs="Arial"/>
        </w:rPr>
        <w:t> still count as being ‘under lockdown.’</w:t>
      </w:r>
    </w:p>
    <w:p w14:paraId="42E62956" w14:textId="77777777" w:rsidR="00425622" w:rsidRDefault="00425622" w:rsidP="00425622">
      <w:pPr>
        <w:rPr>
          <w:rFonts w:cs="Arial"/>
        </w:rPr>
      </w:pPr>
    </w:p>
    <w:p w14:paraId="0F791053" w14:textId="56241FD6" w:rsidR="00425622" w:rsidRPr="00425622" w:rsidRDefault="00425622" w:rsidP="00425622">
      <w:pPr>
        <w:rPr>
          <w:rFonts w:cs="Arial"/>
        </w:rPr>
      </w:pPr>
      <w:r w:rsidRPr="00425622">
        <w:rPr>
          <w:rFonts w:cs="Arial"/>
        </w:rPr>
        <w:t>The scope was </w:t>
      </w:r>
      <w:hyperlink r:id="rId6" w:history="1">
        <w:r w:rsidRPr="00425622">
          <w:rPr>
            <w:rStyle w:val="Hyperlink"/>
            <w:rFonts w:cs="Arial"/>
          </w:rPr>
          <w:t>further extended on 22 October</w:t>
        </w:r>
      </w:hyperlink>
      <w:r w:rsidRPr="00425622">
        <w:rPr>
          <w:rFonts w:cs="Arial"/>
        </w:rPr>
        <w:t>, to cover businesses that were not ‘locked down’, but were subject to significant restrictions on business activity – such as hotel and leisure facilities. The tier 2 rates are meant to approximate 70 per cent of the rates for business that are ‘under lockdown.’</w:t>
      </w:r>
    </w:p>
    <w:p w14:paraId="4FDD2C84" w14:textId="77777777" w:rsidR="00425622" w:rsidRDefault="00425622" w:rsidP="00425622">
      <w:pPr>
        <w:rPr>
          <w:rFonts w:cs="Arial"/>
        </w:rPr>
      </w:pPr>
    </w:p>
    <w:p w14:paraId="3273EEB0" w14:textId="73019E50" w:rsidR="00425622" w:rsidRDefault="00425622" w:rsidP="00425622">
      <w:pPr>
        <w:rPr>
          <w:rFonts w:cs="Arial"/>
        </w:rPr>
      </w:pPr>
      <w:r w:rsidRPr="00425622">
        <w:rPr>
          <w:rFonts w:cs="Arial"/>
        </w:rPr>
        <w:t>We are still waiting for further details to flesh out the announcement made on 22 October, but </w:t>
      </w:r>
      <w:hyperlink r:id="rId7" w:history="1">
        <w:r w:rsidRPr="00425622">
          <w:rPr>
            <w:rStyle w:val="Hyperlink"/>
            <w:rFonts w:cs="Arial"/>
          </w:rPr>
          <w:t>what we know so far</w:t>
        </w:r>
      </w:hyperlink>
      <w:r w:rsidRPr="00425622">
        <w:rPr>
          <w:rFonts w:cs="Arial"/>
        </w:rPr>
        <w:t> is set out in the table below. </w:t>
      </w:r>
      <w:r w:rsidRPr="00425622">
        <w:rPr>
          <w:rFonts w:cs="Arial"/>
          <w:b/>
          <w:bCs/>
        </w:rPr>
        <w:t>The table sets out the position for England.</w:t>
      </w:r>
      <w:r w:rsidRPr="00425622">
        <w:rPr>
          <w:rFonts w:cs="Arial"/>
        </w:rPr>
        <w:t> However, the UK government says it has made funding available to the devolved governments to enable them to make similar provision in their respective territories. The grant will of course be taxable, as a Coronavirus Support Payment.</w:t>
      </w:r>
    </w:p>
    <w:p w14:paraId="20236584" w14:textId="08FA3593" w:rsidR="00425622" w:rsidRDefault="00425622" w:rsidP="00425622">
      <w:pPr>
        <w:rPr>
          <w:rFonts w:cs="Arial"/>
        </w:rPr>
      </w:pPr>
    </w:p>
    <w:p w14:paraId="01E5F9DC" w14:textId="77777777" w:rsidR="00425622" w:rsidRPr="00425622" w:rsidRDefault="00425622" w:rsidP="00425622">
      <w:pPr>
        <w:rPr>
          <w:rFonts w:cs="Arial"/>
        </w:rPr>
      </w:pPr>
    </w:p>
    <w:p w14:paraId="623C0113" w14:textId="7A2DF3EE" w:rsidR="00955B41" w:rsidRDefault="00955B41" w:rsidP="00955B41">
      <w:pPr>
        <w:rPr>
          <w:rFonts w:cs="Arial"/>
        </w:rPr>
      </w:pPr>
    </w:p>
    <w:p w14:paraId="4FF3F08A" w14:textId="5C5FBA5E" w:rsidR="00425622" w:rsidRDefault="00425622" w:rsidP="00955B41">
      <w:pPr>
        <w:rPr>
          <w:rFonts w:cs="Arial"/>
        </w:rPr>
      </w:pPr>
    </w:p>
    <w:p w14:paraId="5F7D98FD" w14:textId="706310E0" w:rsidR="00425622" w:rsidRDefault="00425622" w:rsidP="00955B41">
      <w:pPr>
        <w:rPr>
          <w:rFonts w:cs="Arial"/>
        </w:rPr>
      </w:pPr>
    </w:p>
    <w:p w14:paraId="180F7DE8" w14:textId="71142354" w:rsidR="00425622" w:rsidRDefault="00425622" w:rsidP="00955B41">
      <w:pPr>
        <w:rPr>
          <w:rFonts w:cs="Arial"/>
        </w:rPr>
      </w:pPr>
    </w:p>
    <w:p w14:paraId="2C9C3046" w14:textId="7EF4B07D" w:rsidR="000C7969" w:rsidRDefault="000C7969" w:rsidP="00955B41">
      <w:pPr>
        <w:rPr>
          <w:rFonts w:cs="Arial"/>
        </w:rPr>
      </w:pPr>
    </w:p>
    <w:p w14:paraId="0C239B0F" w14:textId="77777777" w:rsidR="000C7969" w:rsidRDefault="000C7969" w:rsidP="00955B41">
      <w:pPr>
        <w:rPr>
          <w:rFonts w:cs="Arial"/>
        </w:rPr>
      </w:pPr>
    </w:p>
    <w:p w14:paraId="1EA0D759" w14:textId="1B72325F" w:rsidR="00425622" w:rsidRDefault="00425622" w:rsidP="00955B41">
      <w:pPr>
        <w:rPr>
          <w:rFonts w:cs="Arial"/>
        </w:rPr>
      </w:pPr>
    </w:p>
    <w:p w14:paraId="07033378" w14:textId="20DA249D" w:rsidR="00425622" w:rsidRDefault="00425622" w:rsidP="00955B41">
      <w:pPr>
        <w:rPr>
          <w:rFonts w:cs="Arial"/>
        </w:rPr>
      </w:pPr>
    </w:p>
    <w:p w14:paraId="1D0B1457" w14:textId="4D181982" w:rsidR="00425622" w:rsidRDefault="00425622" w:rsidP="00955B41">
      <w:pPr>
        <w:rPr>
          <w:rFonts w:cs="Arial"/>
        </w:rPr>
      </w:pPr>
    </w:p>
    <w:p w14:paraId="21414D9A" w14:textId="17ACEAE2" w:rsidR="00425622" w:rsidRDefault="00425622" w:rsidP="00955B41">
      <w:pPr>
        <w:rPr>
          <w:rFonts w:cs="Arial"/>
        </w:rPr>
      </w:pPr>
    </w:p>
    <w:p w14:paraId="5FBBA436" w14:textId="77777777" w:rsidR="00425622" w:rsidRDefault="00425622" w:rsidP="00955B41">
      <w:pPr>
        <w:rPr>
          <w:rFonts w:cs="Aria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90"/>
        <w:gridCol w:w="3386"/>
        <w:gridCol w:w="1505"/>
        <w:gridCol w:w="3523"/>
        <w:gridCol w:w="3524"/>
      </w:tblGrid>
      <w:tr w:rsidR="00425622" w:rsidRPr="00425622" w14:paraId="6F4D606B" w14:textId="77777777" w:rsidTr="00425622">
        <w:tc>
          <w:tcPr>
            <w:tcW w:w="0" w:type="auto"/>
            <w:shd w:val="clear" w:color="auto" w:fill="FFFFFF"/>
            <w:hideMark/>
          </w:tcPr>
          <w:p w14:paraId="603546AE" w14:textId="77777777" w:rsidR="00425622" w:rsidRPr="00425622" w:rsidRDefault="00425622" w:rsidP="00425622">
            <w:pPr>
              <w:jc w:val="center"/>
              <w:rPr>
                <w:rFonts w:cs="Arial"/>
              </w:rPr>
            </w:pPr>
            <w:r w:rsidRPr="00425622">
              <w:rPr>
                <w:rFonts w:cs="Arial"/>
                <w:b/>
                <w:bCs/>
              </w:rPr>
              <w:t>5 November 2020</w:t>
            </w:r>
          </w:p>
        </w:tc>
        <w:tc>
          <w:tcPr>
            <w:tcW w:w="0" w:type="auto"/>
            <w:gridSpan w:val="2"/>
            <w:shd w:val="clear" w:color="auto" w:fill="FFFFFF"/>
            <w:hideMark/>
          </w:tcPr>
          <w:p w14:paraId="76E57AAB" w14:textId="77777777" w:rsidR="00425622" w:rsidRPr="00425622" w:rsidRDefault="00425622" w:rsidP="00425622">
            <w:pPr>
              <w:jc w:val="center"/>
              <w:rPr>
                <w:rFonts w:cs="Arial"/>
              </w:rPr>
            </w:pPr>
            <w:r w:rsidRPr="00425622">
              <w:rPr>
                <w:rFonts w:cs="Arial"/>
                <w:b/>
                <w:bCs/>
              </w:rPr>
              <w:t>22 October 2020</w:t>
            </w:r>
          </w:p>
        </w:tc>
        <w:tc>
          <w:tcPr>
            <w:tcW w:w="3523" w:type="dxa"/>
            <w:shd w:val="clear" w:color="auto" w:fill="FFFFFF"/>
            <w:hideMark/>
          </w:tcPr>
          <w:p w14:paraId="5C9FDCD1" w14:textId="77777777" w:rsidR="00425622" w:rsidRPr="00425622" w:rsidRDefault="00425622" w:rsidP="00425622">
            <w:pPr>
              <w:jc w:val="center"/>
              <w:rPr>
                <w:rFonts w:cs="Arial"/>
              </w:rPr>
            </w:pPr>
            <w:r w:rsidRPr="00425622">
              <w:rPr>
                <w:rFonts w:cs="Arial"/>
                <w:b/>
                <w:bCs/>
              </w:rPr>
              <w:t>9 October 2020</w:t>
            </w:r>
          </w:p>
        </w:tc>
        <w:tc>
          <w:tcPr>
            <w:tcW w:w="3524" w:type="dxa"/>
            <w:shd w:val="clear" w:color="auto" w:fill="FFFFFF"/>
            <w:hideMark/>
          </w:tcPr>
          <w:p w14:paraId="7BE730F0" w14:textId="22EA7590" w:rsidR="00425622" w:rsidRPr="00425622" w:rsidRDefault="00425622" w:rsidP="00425622">
            <w:pPr>
              <w:jc w:val="center"/>
              <w:rPr>
                <w:rFonts w:cs="Arial"/>
              </w:rPr>
            </w:pPr>
            <w:r w:rsidRPr="00425622">
              <w:rPr>
                <w:rFonts w:cs="Arial"/>
                <w:b/>
                <w:bCs/>
              </w:rPr>
              <w:t>9 September 2020</w:t>
            </w:r>
          </w:p>
        </w:tc>
      </w:tr>
      <w:tr w:rsidR="00425622" w:rsidRPr="00425622" w14:paraId="363AEFD4" w14:textId="77777777" w:rsidTr="00425622">
        <w:tc>
          <w:tcPr>
            <w:tcW w:w="0" w:type="auto"/>
            <w:shd w:val="clear" w:color="auto" w:fill="FFFFFF"/>
            <w:hideMark/>
          </w:tcPr>
          <w:p w14:paraId="0678E52E" w14:textId="77777777" w:rsidR="00425622" w:rsidRPr="00425622" w:rsidRDefault="00425622" w:rsidP="00425622">
            <w:pPr>
              <w:jc w:val="center"/>
              <w:rPr>
                <w:rFonts w:cs="Arial"/>
              </w:rPr>
            </w:pPr>
            <w:r w:rsidRPr="00425622">
              <w:rPr>
                <w:rFonts w:cs="Arial"/>
                <w:color w:val="FF0000"/>
              </w:rPr>
              <w:t>NATIONAL LOCKDOWN(s)</w:t>
            </w:r>
          </w:p>
        </w:tc>
        <w:tc>
          <w:tcPr>
            <w:tcW w:w="0" w:type="auto"/>
            <w:shd w:val="clear" w:color="auto" w:fill="FFFFFF"/>
            <w:hideMark/>
          </w:tcPr>
          <w:p w14:paraId="66FCD65F" w14:textId="77777777" w:rsidR="00425622" w:rsidRPr="00425622" w:rsidRDefault="00425622" w:rsidP="00425622">
            <w:pPr>
              <w:jc w:val="center"/>
              <w:rPr>
                <w:rFonts w:cs="Arial"/>
              </w:rPr>
            </w:pPr>
            <w:r w:rsidRPr="00425622">
              <w:rPr>
                <w:rFonts w:cs="Arial"/>
                <w:color w:val="FF0000"/>
              </w:rPr>
              <w:t>TIER 2 – High Alert</w:t>
            </w:r>
          </w:p>
        </w:tc>
        <w:tc>
          <w:tcPr>
            <w:tcW w:w="0" w:type="auto"/>
            <w:shd w:val="clear" w:color="auto" w:fill="FFFFFF"/>
            <w:hideMark/>
          </w:tcPr>
          <w:p w14:paraId="0CB8F15A" w14:textId="77777777" w:rsidR="00425622" w:rsidRPr="00425622" w:rsidRDefault="00425622" w:rsidP="00425622">
            <w:pPr>
              <w:jc w:val="center"/>
              <w:rPr>
                <w:rFonts w:cs="Arial"/>
                <w:color w:val="FF0000"/>
              </w:rPr>
            </w:pPr>
            <w:r w:rsidRPr="00425622">
              <w:rPr>
                <w:rFonts w:cs="Arial"/>
                <w:color w:val="FF0000"/>
              </w:rPr>
              <w:t>TIER 3 Very High</w:t>
            </w:r>
          </w:p>
        </w:tc>
        <w:tc>
          <w:tcPr>
            <w:tcW w:w="3523" w:type="dxa"/>
            <w:shd w:val="clear" w:color="auto" w:fill="FFFFFF"/>
            <w:hideMark/>
          </w:tcPr>
          <w:p w14:paraId="2E0FC052" w14:textId="77777777" w:rsidR="00425622" w:rsidRPr="00425622" w:rsidRDefault="00425622" w:rsidP="00425622">
            <w:pPr>
              <w:jc w:val="center"/>
              <w:rPr>
                <w:rFonts w:cs="Arial"/>
                <w:color w:val="FF0000"/>
              </w:rPr>
            </w:pPr>
            <w:r w:rsidRPr="00425622">
              <w:rPr>
                <w:rFonts w:cs="Arial"/>
                <w:color w:val="FF0000"/>
              </w:rPr>
              <w:t>LEGALLY CLOSED</w:t>
            </w:r>
          </w:p>
        </w:tc>
        <w:tc>
          <w:tcPr>
            <w:tcW w:w="3524" w:type="dxa"/>
            <w:shd w:val="clear" w:color="auto" w:fill="FFFFFF"/>
            <w:hideMark/>
          </w:tcPr>
          <w:p w14:paraId="2D51CD3A" w14:textId="77777777" w:rsidR="00425622" w:rsidRPr="00425622" w:rsidRDefault="00425622" w:rsidP="00425622">
            <w:pPr>
              <w:jc w:val="center"/>
              <w:rPr>
                <w:rFonts w:cs="Arial"/>
                <w:color w:val="FF0000"/>
              </w:rPr>
            </w:pPr>
            <w:r w:rsidRPr="00425622">
              <w:rPr>
                <w:rFonts w:cs="Arial"/>
                <w:i/>
                <w:iCs/>
                <w:color w:val="FF0000"/>
              </w:rPr>
              <w:t>LEGALLY CLOSED</w:t>
            </w:r>
          </w:p>
        </w:tc>
      </w:tr>
      <w:tr w:rsidR="00425622" w:rsidRPr="00425622" w14:paraId="488A08FA" w14:textId="77777777" w:rsidTr="00425622">
        <w:tc>
          <w:tcPr>
            <w:tcW w:w="0" w:type="auto"/>
            <w:shd w:val="clear" w:color="auto" w:fill="FFFFFF"/>
            <w:hideMark/>
          </w:tcPr>
          <w:p w14:paraId="0E0F75FB" w14:textId="77777777" w:rsidR="00425622" w:rsidRPr="00425622" w:rsidRDefault="00425622" w:rsidP="00425622">
            <w:pPr>
              <w:rPr>
                <w:rFonts w:cs="Arial"/>
              </w:rPr>
            </w:pPr>
            <w:r w:rsidRPr="00425622">
              <w:rPr>
                <w:rFonts w:cs="Arial"/>
              </w:rPr>
              <w:t>From commencement of new lockdown</w:t>
            </w:r>
          </w:p>
        </w:tc>
        <w:tc>
          <w:tcPr>
            <w:tcW w:w="0" w:type="auto"/>
            <w:shd w:val="clear" w:color="auto" w:fill="FFFFFF"/>
            <w:hideMark/>
          </w:tcPr>
          <w:p w14:paraId="022DC91F" w14:textId="77777777" w:rsidR="00425622" w:rsidRPr="00425622" w:rsidRDefault="00425622" w:rsidP="00425622">
            <w:pPr>
              <w:rPr>
                <w:rFonts w:cs="Arial"/>
              </w:rPr>
            </w:pPr>
            <w:r w:rsidRPr="00425622">
              <w:rPr>
                <w:rFonts w:cs="Arial"/>
              </w:rPr>
              <w:t>‘Funding… backdated until the point at which these restrictions began.’</w:t>
            </w:r>
          </w:p>
        </w:tc>
        <w:tc>
          <w:tcPr>
            <w:tcW w:w="0" w:type="auto"/>
            <w:shd w:val="clear" w:color="auto" w:fill="FFFFFF"/>
            <w:hideMark/>
          </w:tcPr>
          <w:p w14:paraId="318960D0" w14:textId="77777777" w:rsidR="00425622" w:rsidRPr="00425622" w:rsidRDefault="00425622" w:rsidP="00425622">
            <w:pPr>
              <w:rPr>
                <w:rFonts w:cs="Arial"/>
              </w:rPr>
            </w:pPr>
            <w:r w:rsidRPr="00425622">
              <w:rPr>
                <w:rFonts w:cs="Arial"/>
              </w:rPr>
              <w:t>‘Funding… backdated… [etc.]’</w:t>
            </w:r>
          </w:p>
        </w:tc>
        <w:tc>
          <w:tcPr>
            <w:tcW w:w="3523" w:type="dxa"/>
            <w:shd w:val="clear" w:color="auto" w:fill="FFFFFF"/>
            <w:hideMark/>
          </w:tcPr>
          <w:p w14:paraId="7E53C807" w14:textId="77777777" w:rsidR="00425622" w:rsidRPr="00425622" w:rsidRDefault="00425622" w:rsidP="00425622">
            <w:pPr>
              <w:rPr>
                <w:rFonts w:cs="Arial"/>
              </w:rPr>
            </w:pPr>
            <w:r w:rsidRPr="00425622">
              <w:rPr>
                <w:rFonts w:cs="Arial"/>
              </w:rPr>
              <w:t>‘Applies only to lockdown from 9/9/20’ (may change?)</w:t>
            </w:r>
          </w:p>
        </w:tc>
        <w:tc>
          <w:tcPr>
            <w:tcW w:w="3524" w:type="dxa"/>
            <w:shd w:val="clear" w:color="auto" w:fill="FFFFFF"/>
            <w:hideMark/>
          </w:tcPr>
          <w:p w14:paraId="6F2DBBC9" w14:textId="77777777" w:rsidR="00425622" w:rsidRPr="00425622" w:rsidRDefault="00425622" w:rsidP="00425622">
            <w:pPr>
              <w:rPr>
                <w:rFonts w:cs="Arial"/>
              </w:rPr>
            </w:pPr>
            <w:r w:rsidRPr="00425622">
              <w:rPr>
                <w:rFonts w:cs="Arial"/>
                <w:i/>
                <w:iCs/>
              </w:rPr>
              <w:t>‘Applies only to lockdown from 9/9/20’ (may change?)</w:t>
            </w:r>
          </w:p>
        </w:tc>
      </w:tr>
      <w:tr w:rsidR="00425622" w:rsidRPr="00425622" w14:paraId="5D3373E8" w14:textId="77777777" w:rsidTr="00425622">
        <w:tc>
          <w:tcPr>
            <w:tcW w:w="0" w:type="auto"/>
            <w:shd w:val="clear" w:color="auto" w:fill="FFFFFF"/>
            <w:hideMark/>
          </w:tcPr>
          <w:p w14:paraId="72873B81" w14:textId="77777777" w:rsidR="00425622" w:rsidRPr="00425622" w:rsidRDefault="00425622" w:rsidP="00425622">
            <w:pPr>
              <w:rPr>
                <w:rFonts w:cs="Arial"/>
              </w:rPr>
            </w:pPr>
            <w:r w:rsidRPr="00425622">
              <w:rPr>
                <w:rFonts w:cs="Arial"/>
              </w:rPr>
              <w:t>Businesses occupying premises with a rateable value </w:t>
            </w:r>
            <w:r w:rsidRPr="00425622">
              <w:rPr>
                <w:rFonts w:cs="Arial"/>
                <w:b/>
                <w:bCs/>
              </w:rPr>
              <w:t>less than £15,000</w:t>
            </w:r>
            <w:r w:rsidRPr="00425622">
              <w:rPr>
                <w:rFonts w:cs="Arial"/>
              </w:rPr>
              <w:t> (etc), will receive </w:t>
            </w:r>
            <w:r w:rsidRPr="00425622">
              <w:rPr>
                <w:rFonts w:cs="Arial"/>
                <w:b/>
                <w:bCs/>
              </w:rPr>
              <w:t>£1,334 per month, per premises</w:t>
            </w:r>
          </w:p>
        </w:tc>
        <w:tc>
          <w:tcPr>
            <w:tcW w:w="0" w:type="auto"/>
            <w:shd w:val="clear" w:color="auto" w:fill="FFFFFF"/>
            <w:hideMark/>
          </w:tcPr>
          <w:p w14:paraId="4902B827" w14:textId="77777777" w:rsidR="00425622" w:rsidRPr="00425622" w:rsidRDefault="00425622" w:rsidP="00425622">
            <w:pPr>
              <w:rPr>
                <w:rFonts w:cs="Arial"/>
              </w:rPr>
            </w:pPr>
            <w:r w:rsidRPr="00425622">
              <w:rPr>
                <w:rFonts w:cs="Arial"/>
              </w:rPr>
              <w:t>Businesses occupying premises with a rateable value </w:t>
            </w:r>
            <w:r w:rsidRPr="00425622">
              <w:rPr>
                <w:rFonts w:cs="Arial"/>
                <w:b/>
                <w:bCs/>
              </w:rPr>
              <w:t>less than £15,000</w:t>
            </w:r>
            <w:r w:rsidRPr="00425622">
              <w:rPr>
                <w:rFonts w:cs="Arial"/>
              </w:rPr>
              <w:t> (etc), will receive </w:t>
            </w:r>
            <w:r w:rsidRPr="00425622">
              <w:rPr>
                <w:rFonts w:cs="Arial"/>
                <w:b/>
                <w:bCs/>
              </w:rPr>
              <w:t>£934 per month, per premises</w:t>
            </w:r>
          </w:p>
        </w:tc>
        <w:tc>
          <w:tcPr>
            <w:tcW w:w="0" w:type="auto"/>
            <w:vMerge w:val="restart"/>
            <w:shd w:val="clear" w:color="auto" w:fill="FFFFFF"/>
            <w:hideMark/>
          </w:tcPr>
          <w:p w14:paraId="085F866A" w14:textId="77777777" w:rsidR="00425622" w:rsidRPr="00425622" w:rsidRDefault="00425622" w:rsidP="00425622">
            <w:pPr>
              <w:rPr>
                <w:rFonts w:cs="Arial"/>
              </w:rPr>
            </w:pPr>
            <w:r w:rsidRPr="00425622">
              <w:rPr>
                <w:rFonts w:cs="Arial"/>
              </w:rPr>
              <w:t>TBA</w:t>
            </w:r>
          </w:p>
        </w:tc>
        <w:tc>
          <w:tcPr>
            <w:tcW w:w="3523" w:type="dxa"/>
            <w:shd w:val="clear" w:color="auto" w:fill="FFFFFF"/>
            <w:hideMark/>
          </w:tcPr>
          <w:p w14:paraId="53B4469B" w14:textId="77777777" w:rsidR="00425622" w:rsidRPr="00425622" w:rsidRDefault="00425622" w:rsidP="00425622">
            <w:pPr>
              <w:rPr>
                <w:rFonts w:cs="Arial"/>
              </w:rPr>
            </w:pPr>
            <w:r w:rsidRPr="00425622">
              <w:rPr>
                <w:rFonts w:cs="Arial"/>
              </w:rPr>
              <w:t>Businesses occupying premises with a rateable value </w:t>
            </w:r>
            <w:r w:rsidRPr="00425622">
              <w:rPr>
                <w:rFonts w:cs="Arial"/>
                <w:b/>
                <w:bCs/>
              </w:rPr>
              <w:t>less than £15,000</w:t>
            </w:r>
            <w:r w:rsidRPr="00425622">
              <w:rPr>
                <w:rFonts w:cs="Arial"/>
              </w:rPr>
              <w:t> (etc), will receive </w:t>
            </w:r>
            <w:r w:rsidRPr="00425622">
              <w:rPr>
                <w:rFonts w:cs="Arial"/>
                <w:b/>
                <w:bCs/>
              </w:rPr>
              <w:t>£667, for each </w:t>
            </w:r>
            <w:r w:rsidRPr="00425622">
              <w:rPr>
                <w:rFonts w:cs="Arial"/>
                <w:b/>
                <w:bCs/>
                <w:u w:val="single"/>
              </w:rPr>
              <w:t>2</w:t>
            </w:r>
            <w:r w:rsidRPr="00425622">
              <w:rPr>
                <w:rFonts w:cs="Arial"/>
                <w:b/>
                <w:bCs/>
              </w:rPr>
              <w:t>-week period of lockdown, per premises.</w:t>
            </w:r>
          </w:p>
        </w:tc>
        <w:tc>
          <w:tcPr>
            <w:tcW w:w="3524" w:type="dxa"/>
            <w:vMerge w:val="restart"/>
            <w:shd w:val="clear" w:color="auto" w:fill="FFFFFF"/>
            <w:hideMark/>
          </w:tcPr>
          <w:p w14:paraId="460587B1" w14:textId="77777777" w:rsidR="00425622" w:rsidRPr="00115D64" w:rsidRDefault="00425622" w:rsidP="00425622">
            <w:pPr>
              <w:rPr>
                <w:rFonts w:cs="Arial"/>
              </w:rPr>
            </w:pPr>
            <w:r w:rsidRPr="00115D64">
              <w:rPr>
                <w:rFonts w:cs="Arial"/>
              </w:rPr>
              <w:t>Businesses occupying remises with a rateable value </w:t>
            </w:r>
            <w:r w:rsidRPr="00115D64">
              <w:rPr>
                <w:rFonts w:cs="Arial"/>
                <w:b/>
                <w:bCs/>
              </w:rPr>
              <w:t>less than £51,000</w:t>
            </w:r>
            <w:r w:rsidRPr="00115D64">
              <w:rPr>
                <w:rFonts w:cs="Arial"/>
              </w:rPr>
              <w:t> (or occupying a property or part of a property subject to an annual rent or mortgage payment of less than £51,000), will receive </w:t>
            </w:r>
            <w:r w:rsidRPr="00115D64">
              <w:rPr>
                <w:rFonts w:cs="Arial"/>
                <w:b/>
                <w:bCs/>
              </w:rPr>
              <w:t>£1,000, for each </w:t>
            </w:r>
            <w:r w:rsidRPr="00115D64">
              <w:rPr>
                <w:rFonts w:cs="Arial"/>
                <w:b/>
                <w:bCs/>
                <w:u w:val="single"/>
              </w:rPr>
              <w:t>3</w:t>
            </w:r>
            <w:r w:rsidRPr="00115D64">
              <w:rPr>
                <w:rFonts w:cs="Arial"/>
                <w:b/>
                <w:bCs/>
              </w:rPr>
              <w:t>-week period of local lockdown, per premises.</w:t>
            </w:r>
          </w:p>
        </w:tc>
      </w:tr>
      <w:tr w:rsidR="00425622" w:rsidRPr="00425622" w14:paraId="271590D6" w14:textId="77777777" w:rsidTr="00425622">
        <w:tc>
          <w:tcPr>
            <w:tcW w:w="0" w:type="auto"/>
            <w:shd w:val="clear" w:color="auto" w:fill="FFFFFF"/>
            <w:hideMark/>
          </w:tcPr>
          <w:p w14:paraId="19F2669F" w14:textId="77777777" w:rsidR="00425622" w:rsidRPr="00425622" w:rsidRDefault="00425622" w:rsidP="00425622">
            <w:pPr>
              <w:rPr>
                <w:rFonts w:cs="Arial"/>
              </w:rPr>
            </w:pPr>
            <w:r w:rsidRPr="00425622">
              <w:rPr>
                <w:rFonts w:cs="Arial"/>
              </w:rPr>
              <w:t>Businesses occupying premises with a rateable value of </w:t>
            </w:r>
            <w:r w:rsidRPr="00425622">
              <w:rPr>
                <w:rFonts w:cs="Arial"/>
                <w:b/>
                <w:bCs/>
              </w:rPr>
              <w:t>£15,000 or more, but still less than £51,000</w:t>
            </w:r>
            <w:r w:rsidRPr="00425622">
              <w:rPr>
                <w:rFonts w:cs="Arial"/>
              </w:rPr>
              <w:t>, (etc), will receive </w:t>
            </w:r>
            <w:r w:rsidRPr="00425622">
              <w:rPr>
                <w:rFonts w:cs="Arial"/>
                <w:b/>
                <w:bCs/>
              </w:rPr>
              <w:t>£2,000 per month, per premises.</w:t>
            </w:r>
          </w:p>
        </w:tc>
        <w:tc>
          <w:tcPr>
            <w:tcW w:w="0" w:type="auto"/>
            <w:shd w:val="clear" w:color="auto" w:fill="FFFFFF"/>
            <w:hideMark/>
          </w:tcPr>
          <w:p w14:paraId="0357A55A" w14:textId="77777777" w:rsidR="00425622" w:rsidRPr="00425622" w:rsidRDefault="00425622" w:rsidP="00425622">
            <w:pPr>
              <w:rPr>
                <w:rFonts w:cs="Arial"/>
              </w:rPr>
            </w:pPr>
            <w:r w:rsidRPr="00425622">
              <w:rPr>
                <w:rFonts w:cs="Arial"/>
              </w:rPr>
              <w:t>Businesses occupying premises with a rateable value of </w:t>
            </w:r>
            <w:r w:rsidRPr="00425622">
              <w:rPr>
                <w:rFonts w:cs="Arial"/>
                <w:b/>
                <w:bCs/>
              </w:rPr>
              <w:t>£15,000 or more, but still less than £51,000</w:t>
            </w:r>
            <w:r w:rsidRPr="00425622">
              <w:rPr>
                <w:rFonts w:cs="Arial"/>
              </w:rPr>
              <w:t>, (etc), will receive </w:t>
            </w:r>
            <w:r w:rsidRPr="00425622">
              <w:rPr>
                <w:rFonts w:cs="Arial"/>
                <w:b/>
                <w:bCs/>
              </w:rPr>
              <w:t>£1,400 per month, per premises.</w:t>
            </w:r>
          </w:p>
        </w:tc>
        <w:tc>
          <w:tcPr>
            <w:tcW w:w="0" w:type="auto"/>
            <w:vMerge/>
            <w:shd w:val="clear" w:color="auto" w:fill="FFFFFF"/>
            <w:vAlign w:val="center"/>
            <w:hideMark/>
          </w:tcPr>
          <w:p w14:paraId="546F1B07" w14:textId="77777777" w:rsidR="00425622" w:rsidRPr="00425622" w:rsidRDefault="00425622" w:rsidP="00425622">
            <w:pPr>
              <w:rPr>
                <w:rFonts w:cs="Arial"/>
              </w:rPr>
            </w:pPr>
          </w:p>
        </w:tc>
        <w:tc>
          <w:tcPr>
            <w:tcW w:w="3523" w:type="dxa"/>
            <w:shd w:val="clear" w:color="auto" w:fill="FFFFFF"/>
            <w:hideMark/>
          </w:tcPr>
          <w:p w14:paraId="456CB143" w14:textId="77777777" w:rsidR="00425622" w:rsidRPr="00425622" w:rsidRDefault="00425622" w:rsidP="00425622">
            <w:pPr>
              <w:rPr>
                <w:rFonts w:cs="Arial"/>
              </w:rPr>
            </w:pPr>
            <w:r w:rsidRPr="00425622">
              <w:rPr>
                <w:rFonts w:cs="Arial"/>
              </w:rPr>
              <w:t>Businesses occupying premises with a rateable value of </w:t>
            </w:r>
            <w:r w:rsidRPr="00425622">
              <w:rPr>
                <w:rFonts w:cs="Arial"/>
                <w:b/>
                <w:bCs/>
              </w:rPr>
              <w:t>£15,000 or more, but still less than £51,000</w:t>
            </w:r>
            <w:r w:rsidRPr="00425622">
              <w:rPr>
                <w:rFonts w:cs="Arial"/>
              </w:rPr>
              <w:t>, (etc), will receive </w:t>
            </w:r>
            <w:r w:rsidRPr="00425622">
              <w:rPr>
                <w:rFonts w:cs="Arial"/>
                <w:b/>
                <w:bCs/>
              </w:rPr>
              <w:t>£1,000, for each </w:t>
            </w:r>
            <w:r w:rsidRPr="00425622">
              <w:rPr>
                <w:rFonts w:cs="Arial"/>
                <w:b/>
                <w:bCs/>
                <w:u w:val="single"/>
              </w:rPr>
              <w:t>2</w:t>
            </w:r>
            <w:r w:rsidRPr="00425622">
              <w:rPr>
                <w:rFonts w:cs="Arial"/>
                <w:b/>
                <w:bCs/>
              </w:rPr>
              <w:t>-week period of local lockdown, per premises.</w:t>
            </w:r>
          </w:p>
        </w:tc>
        <w:tc>
          <w:tcPr>
            <w:tcW w:w="3524" w:type="dxa"/>
            <w:vMerge/>
            <w:shd w:val="clear" w:color="auto" w:fill="FFFFFF"/>
            <w:vAlign w:val="center"/>
            <w:hideMark/>
          </w:tcPr>
          <w:p w14:paraId="75D92962" w14:textId="77777777" w:rsidR="00425622" w:rsidRPr="00115D64" w:rsidRDefault="00425622" w:rsidP="00425622">
            <w:pPr>
              <w:rPr>
                <w:rFonts w:cs="Arial"/>
              </w:rPr>
            </w:pPr>
          </w:p>
        </w:tc>
      </w:tr>
      <w:tr w:rsidR="00425622" w:rsidRPr="00425622" w14:paraId="31969C25" w14:textId="77777777" w:rsidTr="00425622">
        <w:tc>
          <w:tcPr>
            <w:tcW w:w="0" w:type="auto"/>
            <w:shd w:val="clear" w:color="auto" w:fill="FFFFFF"/>
            <w:hideMark/>
          </w:tcPr>
          <w:p w14:paraId="01621B84" w14:textId="77777777" w:rsidR="00425622" w:rsidRPr="00425622" w:rsidRDefault="00425622" w:rsidP="00425622">
            <w:pPr>
              <w:rPr>
                <w:rFonts w:cs="Arial"/>
              </w:rPr>
            </w:pPr>
            <w:r w:rsidRPr="00425622">
              <w:rPr>
                <w:rFonts w:cs="Arial"/>
              </w:rPr>
              <w:t>Businesses occupying premises with a rateable value of </w:t>
            </w:r>
            <w:r w:rsidRPr="00425622">
              <w:rPr>
                <w:rFonts w:cs="Arial"/>
                <w:b/>
                <w:bCs/>
              </w:rPr>
              <w:t>£51,000 or above</w:t>
            </w:r>
            <w:r w:rsidRPr="00425622">
              <w:rPr>
                <w:rFonts w:cs="Arial"/>
              </w:rPr>
              <w:t>, (etc), will receive </w:t>
            </w:r>
            <w:r w:rsidRPr="00425622">
              <w:rPr>
                <w:rFonts w:cs="Arial"/>
                <w:b/>
                <w:bCs/>
              </w:rPr>
              <w:t>£3,000 per month, per premises.</w:t>
            </w:r>
          </w:p>
        </w:tc>
        <w:tc>
          <w:tcPr>
            <w:tcW w:w="0" w:type="auto"/>
            <w:shd w:val="clear" w:color="auto" w:fill="FFFFFF"/>
            <w:hideMark/>
          </w:tcPr>
          <w:p w14:paraId="2BC64C27" w14:textId="77777777" w:rsidR="00425622" w:rsidRPr="00425622" w:rsidRDefault="00425622" w:rsidP="00425622">
            <w:pPr>
              <w:rPr>
                <w:rFonts w:cs="Arial"/>
              </w:rPr>
            </w:pPr>
            <w:r w:rsidRPr="00425622">
              <w:rPr>
                <w:rFonts w:cs="Arial"/>
              </w:rPr>
              <w:t>Businesses occupying premises with a rateable value of </w:t>
            </w:r>
            <w:r w:rsidRPr="00425622">
              <w:rPr>
                <w:rFonts w:cs="Arial"/>
                <w:b/>
                <w:bCs/>
              </w:rPr>
              <w:t>£51,000 or above</w:t>
            </w:r>
            <w:r w:rsidRPr="00425622">
              <w:rPr>
                <w:rFonts w:cs="Arial"/>
              </w:rPr>
              <w:t>, (etc), will receive </w:t>
            </w:r>
            <w:r w:rsidRPr="00425622">
              <w:rPr>
                <w:rFonts w:cs="Arial"/>
                <w:b/>
                <w:bCs/>
              </w:rPr>
              <w:t>£2,100 per month, per premises.</w:t>
            </w:r>
          </w:p>
        </w:tc>
        <w:tc>
          <w:tcPr>
            <w:tcW w:w="0" w:type="auto"/>
            <w:vMerge/>
            <w:shd w:val="clear" w:color="auto" w:fill="FFFFFF"/>
            <w:vAlign w:val="center"/>
            <w:hideMark/>
          </w:tcPr>
          <w:p w14:paraId="71644CA8" w14:textId="77777777" w:rsidR="00425622" w:rsidRPr="00425622" w:rsidRDefault="00425622" w:rsidP="00425622">
            <w:pPr>
              <w:rPr>
                <w:rFonts w:cs="Arial"/>
              </w:rPr>
            </w:pPr>
          </w:p>
        </w:tc>
        <w:tc>
          <w:tcPr>
            <w:tcW w:w="3523" w:type="dxa"/>
            <w:shd w:val="clear" w:color="auto" w:fill="FFFFFF"/>
            <w:hideMark/>
          </w:tcPr>
          <w:p w14:paraId="2FDDC23B" w14:textId="77777777" w:rsidR="00425622" w:rsidRPr="00425622" w:rsidRDefault="00425622" w:rsidP="00425622">
            <w:pPr>
              <w:rPr>
                <w:rFonts w:cs="Arial"/>
              </w:rPr>
            </w:pPr>
            <w:r w:rsidRPr="00425622">
              <w:rPr>
                <w:rFonts w:cs="Arial"/>
              </w:rPr>
              <w:t>Businesses occupying premises with a rateable value of </w:t>
            </w:r>
            <w:r w:rsidRPr="00425622">
              <w:rPr>
                <w:rFonts w:cs="Arial"/>
                <w:b/>
                <w:bCs/>
              </w:rPr>
              <w:t>£51,000 or above</w:t>
            </w:r>
            <w:r w:rsidRPr="00425622">
              <w:rPr>
                <w:rFonts w:cs="Arial"/>
              </w:rPr>
              <w:t>, (etc), will receive </w:t>
            </w:r>
            <w:r w:rsidRPr="00425622">
              <w:rPr>
                <w:rFonts w:cs="Arial"/>
                <w:b/>
                <w:bCs/>
              </w:rPr>
              <w:t>£1,500, for each </w:t>
            </w:r>
            <w:r w:rsidRPr="00425622">
              <w:rPr>
                <w:rFonts w:cs="Arial"/>
                <w:b/>
                <w:bCs/>
                <w:u w:val="single"/>
              </w:rPr>
              <w:t>2</w:t>
            </w:r>
            <w:r w:rsidRPr="00425622">
              <w:rPr>
                <w:rFonts w:cs="Arial"/>
                <w:b/>
                <w:bCs/>
              </w:rPr>
              <w:t>-week period of local lockdown, per premises.</w:t>
            </w:r>
          </w:p>
        </w:tc>
        <w:tc>
          <w:tcPr>
            <w:tcW w:w="3524" w:type="dxa"/>
            <w:shd w:val="clear" w:color="auto" w:fill="FFFFFF"/>
            <w:hideMark/>
          </w:tcPr>
          <w:p w14:paraId="69711099" w14:textId="77777777" w:rsidR="00425622" w:rsidRPr="00115D64" w:rsidRDefault="00425622" w:rsidP="00425622">
            <w:pPr>
              <w:rPr>
                <w:rFonts w:cs="Arial"/>
              </w:rPr>
            </w:pPr>
            <w:r w:rsidRPr="00115D64">
              <w:rPr>
                <w:rFonts w:cs="Arial"/>
              </w:rPr>
              <w:t>Businesses occupying premises with rateable value of </w:t>
            </w:r>
            <w:r w:rsidRPr="00115D64">
              <w:rPr>
                <w:rFonts w:cs="Arial"/>
                <w:b/>
                <w:bCs/>
              </w:rPr>
              <w:t>exactly £51,000 or above</w:t>
            </w:r>
            <w:r w:rsidRPr="00115D64">
              <w:rPr>
                <w:rFonts w:cs="Arial"/>
              </w:rPr>
              <w:t> (or businesses occupying a property or part of a property subject to an annual rent or mortgage payment of exactly £51,000 or above), will receive </w:t>
            </w:r>
            <w:r w:rsidRPr="00115D64">
              <w:rPr>
                <w:rFonts w:cs="Arial"/>
                <w:b/>
                <w:bCs/>
              </w:rPr>
              <w:t>£1,500, for each </w:t>
            </w:r>
            <w:r w:rsidRPr="00115D64">
              <w:rPr>
                <w:rFonts w:cs="Arial"/>
                <w:b/>
                <w:bCs/>
                <w:u w:val="single"/>
              </w:rPr>
              <w:t>3</w:t>
            </w:r>
            <w:r w:rsidRPr="00115D64">
              <w:rPr>
                <w:rFonts w:cs="Arial"/>
                <w:b/>
                <w:bCs/>
              </w:rPr>
              <w:t>-week period of local lockdown, per premises.</w:t>
            </w:r>
          </w:p>
        </w:tc>
      </w:tr>
      <w:tr w:rsidR="00425622" w:rsidRPr="00425622" w14:paraId="63C6DB85" w14:textId="77777777" w:rsidTr="00425622">
        <w:tc>
          <w:tcPr>
            <w:tcW w:w="0" w:type="auto"/>
            <w:tcBorders>
              <w:bottom w:val="dotted" w:sz="4" w:space="0" w:color="auto"/>
            </w:tcBorders>
            <w:shd w:val="clear" w:color="auto" w:fill="FFFFFF"/>
            <w:hideMark/>
          </w:tcPr>
          <w:p w14:paraId="79F0F3C1" w14:textId="77777777" w:rsidR="00425622" w:rsidRPr="00425622" w:rsidRDefault="00425622" w:rsidP="00425622">
            <w:pPr>
              <w:rPr>
                <w:rFonts w:cs="Arial"/>
              </w:rPr>
            </w:pPr>
            <w:r w:rsidRPr="00425622">
              <w:rPr>
                <w:rFonts w:cs="Arial"/>
              </w:rPr>
              <w:t>Already applies nationally.</w:t>
            </w:r>
          </w:p>
        </w:tc>
        <w:tc>
          <w:tcPr>
            <w:tcW w:w="0" w:type="auto"/>
            <w:tcBorders>
              <w:bottom w:val="dotted" w:sz="4" w:space="0" w:color="auto"/>
            </w:tcBorders>
            <w:shd w:val="clear" w:color="auto" w:fill="FFFFFF"/>
            <w:hideMark/>
          </w:tcPr>
          <w:p w14:paraId="2BC43BC9" w14:textId="77777777" w:rsidR="00425622" w:rsidRPr="00425622" w:rsidRDefault="00425622" w:rsidP="00425622">
            <w:pPr>
              <w:rPr>
                <w:rFonts w:cs="Arial"/>
              </w:rPr>
            </w:pPr>
            <w:r w:rsidRPr="00425622">
              <w:rPr>
                <w:rFonts w:cs="Arial"/>
              </w:rPr>
              <w:t> </w:t>
            </w:r>
          </w:p>
        </w:tc>
        <w:tc>
          <w:tcPr>
            <w:tcW w:w="0" w:type="auto"/>
            <w:tcBorders>
              <w:bottom w:val="dotted" w:sz="4" w:space="0" w:color="auto"/>
            </w:tcBorders>
            <w:shd w:val="clear" w:color="auto" w:fill="FFFFFF"/>
            <w:hideMark/>
          </w:tcPr>
          <w:p w14:paraId="22364D7C" w14:textId="77777777" w:rsidR="00425622" w:rsidRPr="00425622" w:rsidRDefault="00425622" w:rsidP="00425622">
            <w:pPr>
              <w:rPr>
                <w:rFonts w:cs="Arial"/>
              </w:rPr>
            </w:pPr>
            <w:r w:rsidRPr="00425622">
              <w:rPr>
                <w:rFonts w:cs="Arial"/>
              </w:rPr>
              <w:t> </w:t>
            </w:r>
          </w:p>
        </w:tc>
        <w:tc>
          <w:tcPr>
            <w:tcW w:w="3523" w:type="dxa"/>
            <w:tcBorders>
              <w:bottom w:val="dotted" w:sz="4" w:space="0" w:color="auto"/>
            </w:tcBorders>
            <w:shd w:val="clear" w:color="auto" w:fill="FFFFFF"/>
            <w:hideMark/>
          </w:tcPr>
          <w:p w14:paraId="1847621F" w14:textId="77777777" w:rsidR="00425622" w:rsidRPr="00425622" w:rsidRDefault="00425622" w:rsidP="00425622">
            <w:pPr>
              <w:rPr>
                <w:rFonts w:cs="Arial"/>
              </w:rPr>
            </w:pPr>
            <w:r w:rsidRPr="00425622">
              <w:rPr>
                <w:rFonts w:cs="Arial"/>
              </w:rPr>
              <w:t>‘The government is also extending the Scheme to include businesses which have been forced to close on a </w:t>
            </w:r>
            <w:r w:rsidRPr="00425622">
              <w:rPr>
                <w:rFonts w:cs="Arial"/>
                <w:b/>
                <w:bCs/>
              </w:rPr>
              <w:t>national</w:t>
            </w:r>
            <w:r w:rsidRPr="00425622">
              <w:rPr>
                <w:rFonts w:cs="Arial"/>
              </w:rPr>
              <w:t>, rather than a local basis’</w:t>
            </w:r>
          </w:p>
        </w:tc>
        <w:tc>
          <w:tcPr>
            <w:tcW w:w="3524" w:type="dxa"/>
            <w:tcBorders>
              <w:bottom w:val="dotted" w:sz="4" w:space="0" w:color="auto"/>
            </w:tcBorders>
            <w:shd w:val="clear" w:color="auto" w:fill="FFFFFF"/>
            <w:hideMark/>
          </w:tcPr>
          <w:p w14:paraId="058BEB19" w14:textId="77777777" w:rsidR="00425622" w:rsidRPr="00115D64" w:rsidRDefault="00425622" w:rsidP="00425622">
            <w:pPr>
              <w:rPr>
                <w:rFonts w:cs="Arial"/>
              </w:rPr>
            </w:pPr>
            <w:r w:rsidRPr="00115D64">
              <w:rPr>
                <w:rFonts w:cs="Arial"/>
              </w:rPr>
              <w:t>Nothing for businesses closed subject to nationwide restrictions</w:t>
            </w:r>
          </w:p>
        </w:tc>
      </w:tr>
      <w:tr w:rsidR="00425622" w:rsidRPr="00425622" w14:paraId="399483C1" w14:textId="77777777" w:rsidTr="00425622">
        <w:tc>
          <w:tcPr>
            <w:tcW w:w="0" w:type="auto"/>
            <w:tcBorders>
              <w:top w:val="dotted" w:sz="4" w:space="0" w:color="auto"/>
              <w:left w:val="dotted" w:sz="4" w:space="0" w:color="auto"/>
              <w:bottom w:val="dotted" w:sz="4" w:space="0" w:color="auto"/>
            </w:tcBorders>
            <w:shd w:val="clear" w:color="auto" w:fill="FFFFFF"/>
            <w:hideMark/>
          </w:tcPr>
          <w:p w14:paraId="5EE07B6B" w14:textId="77777777" w:rsidR="00425622" w:rsidRPr="00425622" w:rsidRDefault="00425622" w:rsidP="00425622">
            <w:pPr>
              <w:rPr>
                <w:rFonts w:cs="Arial"/>
              </w:rPr>
            </w:pPr>
            <w:r w:rsidRPr="00425622">
              <w:rPr>
                <w:rFonts w:cs="Arial"/>
              </w:rPr>
              <w:t> </w:t>
            </w:r>
          </w:p>
        </w:tc>
        <w:tc>
          <w:tcPr>
            <w:tcW w:w="0" w:type="auto"/>
            <w:tcBorders>
              <w:top w:val="dotted" w:sz="4" w:space="0" w:color="auto"/>
              <w:bottom w:val="dotted" w:sz="4" w:space="0" w:color="auto"/>
            </w:tcBorders>
            <w:shd w:val="clear" w:color="auto" w:fill="FFFFFF"/>
            <w:hideMark/>
          </w:tcPr>
          <w:p w14:paraId="64EBAC9C" w14:textId="4304D4A3" w:rsidR="00425622" w:rsidRPr="00425622" w:rsidRDefault="00425622" w:rsidP="00425622">
            <w:pPr>
              <w:rPr>
                <w:rFonts w:cs="Arial"/>
              </w:rPr>
            </w:pPr>
            <w:r w:rsidRPr="00425622">
              <w:rPr>
                <w:rFonts w:cs="Arial"/>
              </w:rPr>
              <w:t xml:space="preserve">5% ‘top-up’ for Local Authorities to provide support to other businesses – </w:t>
            </w:r>
            <w:r w:rsidR="000C7969" w:rsidRPr="00425622">
              <w:rPr>
                <w:rFonts w:cs="Arial"/>
              </w:rPr>
              <w:t>e.g.</w:t>
            </w:r>
            <w:r w:rsidRPr="00425622">
              <w:rPr>
                <w:rFonts w:cs="Arial"/>
              </w:rPr>
              <w:t>, not on business rates list</w:t>
            </w:r>
          </w:p>
        </w:tc>
        <w:tc>
          <w:tcPr>
            <w:tcW w:w="0" w:type="auto"/>
            <w:tcBorders>
              <w:top w:val="dotted" w:sz="4" w:space="0" w:color="auto"/>
              <w:bottom w:val="dotted" w:sz="4" w:space="0" w:color="auto"/>
            </w:tcBorders>
            <w:shd w:val="clear" w:color="auto" w:fill="FFFFFF"/>
            <w:hideMark/>
          </w:tcPr>
          <w:p w14:paraId="4049B65D" w14:textId="77777777" w:rsidR="00425622" w:rsidRPr="00425622" w:rsidRDefault="00425622" w:rsidP="00425622">
            <w:pPr>
              <w:rPr>
                <w:rFonts w:cs="Arial"/>
              </w:rPr>
            </w:pPr>
            <w:r w:rsidRPr="00425622">
              <w:rPr>
                <w:rFonts w:cs="Arial"/>
              </w:rPr>
              <w:t> </w:t>
            </w:r>
          </w:p>
        </w:tc>
        <w:tc>
          <w:tcPr>
            <w:tcW w:w="3523" w:type="dxa"/>
            <w:tcBorders>
              <w:top w:val="dotted" w:sz="4" w:space="0" w:color="auto"/>
              <w:bottom w:val="dotted" w:sz="4" w:space="0" w:color="auto"/>
            </w:tcBorders>
            <w:shd w:val="clear" w:color="auto" w:fill="FFFFFF"/>
            <w:hideMark/>
          </w:tcPr>
          <w:p w14:paraId="66E5D185" w14:textId="6B31FE41" w:rsidR="00425622" w:rsidRPr="00425622" w:rsidRDefault="00425622" w:rsidP="00425622">
            <w:pPr>
              <w:rPr>
                <w:rFonts w:cs="Arial"/>
              </w:rPr>
            </w:pPr>
            <w:r w:rsidRPr="00425622">
              <w:rPr>
                <w:rFonts w:cs="Arial"/>
              </w:rPr>
              <w:t xml:space="preserve">Additional funds for Local Authorities to provide support to other businesses – </w:t>
            </w:r>
            <w:r w:rsidR="000C7969" w:rsidRPr="00425622">
              <w:rPr>
                <w:rFonts w:cs="Arial"/>
              </w:rPr>
              <w:t>e.g.</w:t>
            </w:r>
            <w:r w:rsidRPr="00425622">
              <w:rPr>
                <w:rFonts w:cs="Arial"/>
              </w:rPr>
              <w:t>, not on business rates list</w:t>
            </w:r>
          </w:p>
        </w:tc>
        <w:tc>
          <w:tcPr>
            <w:tcW w:w="3524" w:type="dxa"/>
            <w:tcBorders>
              <w:top w:val="dotted" w:sz="4" w:space="0" w:color="auto"/>
              <w:bottom w:val="dotted" w:sz="4" w:space="0" w:color="auto"/>
              <w:right w:val="dotted" w:sz="4" w:space="0" w:color="auto"/>
            </w:tcBorders>
            <w:shd w:val="clear" w:color="auto" w:fill="FFFFFF"/>
            <w:hideMark/>
          </w:tcPr>
          <w:p w14:paraId="19A3BCF3" w14:textId="0FEA7ED1" w:rsidR="00425622" w:rsidRPr="00115D64" w:rsidRDefault="00425622" w:rsidP="00425622">
            <w:pPr>
              <w:rPr>
                <w:rFonts w:cs="Arial"/>
              </w:rPr>
            </w:pPr>
            <w:r w:rsidRPr="00115D64">
              <w:rPr>
                <w:rFonts w:cs="Arial"/>
              </w:rPr>
              <w:t xml:space="preserve">Additional funds for Local Authorities to provide support to other businesses – </w:t>
            </w:r>
            <w:r w:rsidR="000C7969" w:rsidRPr="00115D64">
              <w:rPr>
                <w:rFonts w:cs="Arial"/>
              </w:rPr>
              <w:t>e.g.</w:t>
            </w:r>
            <w:r w:rsidRPr="00115D64">
              <w:rPr>
                <w:rFonts w:cs="Arial"/>
              </w:rPr>
              <w:t>, not on business rates list</w:t>
            </w:r>
          </w:p>
        </w:tc>
      </w:tr>
    </w:tbl>
    <w:p w14:paraId="10BB47BF" w14:textId="77777777" w:rsidR="00425622" w:rsidRPr="00721434" w:rsidRDefault="00425622" w:rsidP="00955B41">
      <w:pPr>
        <w:rPr>
          <w:rFonts w:cs="Arial"/>
        </w:rPr>
      </w:pPr>
    </w:p>
    <w:sectPr w:rsidR="00425622" w:rsidRPr="00721434" w:rsidSect="004256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5622"/>
    <w:rsid w:val="0008493D"/>
    <w:rsid w:val="000C7969"/>
    <w:rsid w:val="00115D64"/>
    <w:rsid w:val="00150862"/>
    <w:rsid w:val="0017244C"/>
    <w:rsid w:val="002678EC"/>
    <w:rsid w:val="00425622"/>
    <w:rsid w:val="005456A1"/>
    <w:rsid w:val="005876A8"/>
    <w:rsid w:val="005E2741"/>
    <w:rsid w:val="006A2267"/>
    <w:rsid w:val="006A51F2"/>
    <w:rsid w:val="00721434"/>
    <w:rsid w:val="007C59C1"/>
    <w:rsid w:val="00955B41"/>
    <w:rsid w:val="00A17109"/>
    <w:rsid w:val="00B01DE7"/>
    <w:rsid w:val="00B57F64"/>
    <w:rsid w:val="00E0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15DC"/>
  <w15:chartTrackingRefBased/>
  <w15:docId w15:val="{3A727F53-F0E1-4A96-BDE6-3B7DE1C6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9C1"/>
    <w:pPr>
      <w:spacing w:after="0" w:line="240" w:lineRule="auto"/>
    </w:pPr>
    <w:rPr>
      <w:rFonts w:ascii="Times New Roman" w:hAnsi="Times New Roman"/>
      <w:sz w:val="20"/>
    </w:rPr>
  </w:style>
  <w:style w:type="character" w:styleId="Hyperlink">
    <w:name w:val="Hyperlink"/>
    <w:basedOn w:val="DefaultParagraphFont"/>
    <w:uiPriority w:val="99"/>
    <w:unhideWhenUsed/>
    <w:rsid w:val="00425622"/>
    <w:rPr>
      <w:color w:val="0000FF" w:themeColor="hyperlink"/>
      <w:u w:val="single"/>
    </w:rPr>
  </w:style>
  <w:style w:type="character" w:styleId="UnresolvedMention">
    <w:name w:val="Unresolved Mention"/>
    <w:basedOn w:val="DefaultParagraphFont"/>
    <w:uiPriority w:val="99"/>
    <w:semiHidden/>
    <w:unhideWhenUsed/>
    <w:rsid w:val="0042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1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929229/BUSINESS_GRANTS_FACTSHE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plan-for-jobs-chancellor-increases-financial-support-for-businesses-and-workers" TargetMode="External"/><Relationship Id="rId5" Type="http://schemas.openxmlformats.org/officeDocument/2006/relationships/hyperlink" Target="https://www.gov.uk/government/news/job-support-scheme-expanded-to-firms-required-to-close-due-to-covid-restriction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Purvis</dc:creator>
  <cp:keywords/>
  <dc:description/>
  <cp:lastModifiedBy>Graham Purvis</cp:lastModifiedBy>
  <cp:revision>3</cp:revision>
  <dcterms:created xsi:type="dcterms:W3CDTF">2020-11-05T11:02:00Z</dcterms:created>
  <dcterms:modified xsi:type="dcterms:W3CDTF">2020-11-05T11:11:00Z</dcterms:modified>
</cp:coreProperties>
</file>